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bookmarkStart w:id="0" w:name="_GoBack"/>
      <w:bookmarkEnd w:id="0"/>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D16DD6" w:rsidP="00CA584B">
      <w:pPr>
        <w:pStyle w:val="Default"/>
        <w:jc w:val="center"/>
        <w:rPr>
          <w:rFonts w:ascii="Times New Roman" w:hAnsi="Times New Roman" w:cs="Times New Roman"/>
          <w:b/>
        </w:rPr>
      </w:pPr>
      <w:r>
        <w:rPr>
          <w:rFonts w:ascii="Times New Roman" w:hAnsi="Times New Roman" w:cs="Times New Roman"/>
          <w:b/>
        </w:rPr>
        <w:t>January 14</w:t>
      </w:r>
      <w:r w:rsidR="00C05015" w:rsidRPr="00833D8D">
        <w:rPr>
          <w:rFonts w:ascii="Times New Roman" w:hAnsi="Times New Roman" w:cs="Times New Roman"/>
          <w:b/>
        </w:rPr>
        <w:t>, 20</w:t>
      </w:r>
      <w:r>
        <w:rPr>
          <w:rFonts w:ascii="Times New Roman" w:hAnsi="Times New Roman" w:cs="Times New Roman"/>
          <w:b/>
        </w:rPr>
        <w:t>20</w:t>
      </w:r>
    </w:p>
    <w:p w:rsidR="00E73CBB" w:rsidRPr="00833D8D" w:rsidRDefault="001748C4" w:rsidP="00E73CBB">
      <w:pPr>
        <w:jc w:val="center"/>
        <w:rPr>
          <w:rFonts w:ascii="Times New Roman" w:hAnsi="Times New Roman"/>
          <w:b/>
          <w:bCs/>
          <w:color w:val="333333"/>
          <w:kern w:val="36"/>
          <w:sz w:val="24"/>
          <w:szCs w:val="24"/>
        </w:rPr>
      </w:pPr>
      <w:r w:rsidRPr="00833D8D">
        <w:rPr>
          <w:rFonts w:ascii="Times New Roman" w:hAnsi="Times New Roman"/>
          <w:b/>
          <w:sz w:val="24"/>
          <w:szCs w:val="24"/>
        </w:rPr>
        <w:t>4</w:t>
      </w:r>
      <w:r w:rsidR="002D1F51" w:rsidRPr="00833D8D">
        <w:rPr>
          <w:rFonts w:ascii="Times New Roman" w:hAnsi="Times New Roman"/>
          <w:b/>
          <w:sz w:val="24"/>
          <w:szCs w:val="24"/>
        </w:rPr>
        <w:t>:0</w:t>
      </w:r>
      <w:r w:rsidR="00B04992" w:rsidRPr="00833D8D">
        <w:rPr>
          <w:rFonts w:ascii="Times New Roman" w:hAnsi="Times New Roman"/>
          <w:b/>
          <w:sz w:val="24"/>
          <w:szCs w:val="24"/>
        </w:rPr>
        <w:t>0</w:t>
      </w:r>
      <w:r w:rsidR="00E73CBB" w:rsidRPr="00833D8D">
        <w:rPr>
          <w:rFonts w:ascii="Times New Roman" w:hAnsi="Times New Roman"/>
          <w:b/>
          <w:sz w:val="24"/>
          <w:szCs w:val="24"/>
        </w:rPr>
        <w:t xml:space="preserve"> </w:t>
      </w:r>
      <w:r w:rsidR="00EA080A" w:rsidRPr="00833D8D">
        <w:rPr>
          <w:rFonts w:ascii="Times New Roman" w:hAnsi="Times New Roman"/>
          <w:b/>
          <w:sz w:val="24"/>
          <w:szCs w:val="24"/>
        </w:rPr>
        <w:t>P</w:t>
      </w:r>
      <w:r w:rsidR="00C05015" w:rsidRPr="00833D8D">
        <w:rPr>
          <w:rFonts w:ascii="Times New Roman" w:hAnsi="Times New Roman"/>
          <w:b/>
          <w:sz w:val="24"/>
          <w:szCs w:val="24"/>
        </w:rPr>
        <w:t>.</w:t>
      </w:r>
      <w:r w:rsidR="00EA080A" w:rsidRPr="00833D8D">
        <w:rPr>
          <w:rFonts w:ascii="Times New Roman" w:hAnsi="Times New Roman"/>
          <w:b/>
          <w:sz w:val="24"/>
          <w:szCs w:val="24"/>
        </w:rPr>
        <w:t>M</w:t>
      </w:r>
      <w:r w:rsidR="00C05015" w:rsidRPr="00833D8D">
        <w:rPr>
          <w:rFonts w:ascii="Times New Roman" w:hAnsi="Times New Roman"/>
          <w:b/>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2E3E1E" w:rsidRDefault="00CA584B" w:rsidP="00A442F3">
      <w:pPr>
        <w:pStyle w:val="Default"/>
        <w:numPr>
          <w:ilvl w:val="0"/>
          <w:numId w:val="1"/>
        </w:numPr>
        <w:tabs>
          <w:tab w:val="left" w:pos="720"/>
        </w:tabs>
        <w:rPr>
          <w:rFonts w:ascii="Cambria" w:hAnsi="Cambria" w:cs="Calibri"/>
          <w:b/>
          <w:color w:val="auto"/>
          <w:sz w:val="22"/>
          <w:szCs w:val="22"/>
        </w:rPr>
      </w:pPr>
      <w:r w:rsidRPr="009824F1">
        <w:rPr>
          <w:rFonts w:ascii="Cambria" w:hAnsi="Cambria"/>
          <w:color w:val="auto"/>
          <w:sz w:val="22"/>
          <w:szCs w:val="22"/>
        </w:rPr>
        <w:t>Call to Order:</w:t>
      </w:r>
      <w:r w:rsidR="00FF1FD7">
        <w:rPr>
          <w:rFonts w:ascii="Cambria" w:hAnsi="Cambria"/>
          <w:color w:val="auto"/>
          <w:sz w:val="22"/>
          <w:szCs w:val="22"/>
        </w:rPr>
        <w:t xml:space="preserve">  </w:t>
      </w:r>
      <w:r w:rsidRPr="009824F1">
        <w:rPr>
          <w:rFonts w:ascii="Cambria" w:hAnsi="Cambria"/>
          <w:color w:val="auto"/>
          <w:sz w:val="22"/>
          <w:szCs w:val="22"/>
        </w:rPr>
        <w:t xml:space="preserve">Roll Call </w:t>
      </w:r>
    </w:p>
    <w:p w:rsidR="00CA584B" w:rsidRPr="009824F1" w:rsidRDefault="00CA584B" w:rsidP="00CA584B">
      <w:pPr>
        <w:pStyle w:val="Default"/>
        <w:tabs>
          <w:tab w:val="left" w:pos="720"/>
        </w:tabs>
        <w:rPr>
          <w:rFonts w:ascii="Cambria" w:hAnsi="Cambria" w:cs="Calibri"/>
          <w:b/>
          <w:color w:val="auto"/>
          <w:sz w:val="22"/>
          <w:szCs w:val="22"/>
        </w:rPr>
      </w:pPr>
    </w:p>
    <w:p w:rsidR="00C80EAB" w:rsidRDefault="00C80EAB" w:rsidP="00C80EAB">
      <w:pPr>
        <w:pStyle w:val="Default"/>
        <w:numPr>
          <w:ilvl w:val="0"/>
          <w:numId w:val="1"/>
        </w:numPr>
        <w:tabs>
          <w:tab w:val="left" w:pos="0"/>
        </w:tabs>
        <w:rPr>
          <w:rFonts w:ascii="Cambria" w:hAnsi="Cambria"/>
          <w:color w:val="auto"/>
          <w:sz w:val="22"/>
          <w:szCs w:val="22"/>
        </w:rPr>
      </w:pPr>
      <w:r w:rsidRPr="009824F1">
        <w:rPr>
          <w:rFonts w:ascii="Cambria" w:hAnsi="Cambria"/>
          <w:color w:val="auto"/>
          <w:sz w:val="22"/>
          <w:szCs w:val="22"/>
        </w:rPr>
        <w:t>Approv</w:t>
      </w:r>
      <w:r w:rsidR="00512FF6">
        <w:rPr>
          <w:rFonts w:ascii="Cambria" w:hAnsi="Cambria"/>
          <w:color w:val="auto"/>
          <w:sz w:val="22"/>
          <w:szCs w:val="22"/>
        </w:rPr>
        <w:t>e</w:t>
      </w:r>
      <w:r w:rsidRPr="009824F1">
        <w:rPr>
          <w:rFonts w:ascii="Cambria" w:hAnsi="Cambria"/>
          <w:color w:val="auto"/>
          <w:sz w:val="22"/>
          <w:szCs w:val="22"/>
        </w:rPr>
        <w:t xml:space="preserve"> Agenda</w:t>
      </w:r>
    </w:p>
    <w:p w:rsidR="000C2B74" w:rsidRDefault="000C2B74" w:rsidP="000C2B74">
      <w:pPr>
        <w:pStyle w:val="Default"/>
        <w:tabs>
          <w:tab w:val="left" w:pos="0"/>
        </w:tabs>
        <w:rPr>
          <w:rFonts w:ascii="Cambria" w:hAnsi="Cambria"/>
          <w:color w:val="auto"/>
          <w:sz w:val="22"/>
          <w:szCs w:val="22"/>
        </w:rPr>
      </w:pPr>
    </w:p>
    <w:p w:rsidR="000C2B74" w:rsidRDefault="000C2B74" w:rsidP="000C2B74">
      <w:pPr>
        <w:pStyle w:val="Default"/>
        <w:tabs>
          <w:tab w:val="left" w:pos="0"/>
        </w:tabs>
        <w:rPr>
          <w:rFonts w:ascii="Cambria" w:hAnsi="Cambria"/>
          <w:color w:val="auto"/>
          <w:sz w:val="22"/>
          <w:szCs w:val="22"/>
        </w:rPr>
      </w:pPr>
      <w:r>
        <w:rPr>
          <w:rFonts w:ascii="Cambria" w:hAnsi="Cambria"/>
          <w:color w:val="auto"/>
          <w:sz w:val="22"/>
          <w:szCs w:val="22"/>
        </w:rPr>
        <w:t>III.</w:t>
      </w:r>
      <w:r>
        <w:rPr>
          <w:rFonts w:ascii="Cambria" w:hAnsi="Cambria"/>
          <w:color w:val="auto"/>
          <w:sz w:val="22"/>
          <w:szCs w:val="22"/>
        </w:rPr>
        <w:tab/>
        <w:t xml:space="preserve">Approve Minutes of </w:t>
      </w:r>
      <w:r w:rsidR="00FF1FD7">
        <w:rPr>
          <w:rFonts w:ascii="Cambria" w:hAnsi="Cambria"/>
          <w:color w:val="auto"/>
          <w:sz w:val="22"/>
          <w:szCs w:val="22"/>
        </w:rPr>
        <w:t>November 5, 2019 Board</w:t>
      </w:r>
      <w:r>
        <w:rPr>
          <w:rFonts w:ascii="Cambria" w:hAnsi="Cambria"/>
          <w:color w:val="auto"/>
          <w:sz w:val="22"/>
          <w:szCs w:val="22"/>
        </w:rPr>
        <w:t xml:space="preserve"> Meeting</w:t>
      </w:r>
      <w:r w:rsidR="00FF1FD7">
        <w:rPr>
          <w:rFonts w:ascii="Cambria" w:hAnsi="Cambria"/>
          <w:color w:val="auto"/>
          <w:sz w:val="22"/>
          <w:szCs w:val="22"/>
        </w:rPr>
        <w:t xml:space="preserve"> </w:t>
      </w:r>
    </w:p>
    <w:p w:rsidR="007D013B" w:rsidRDefault="007D013B" w:rsidP="000C2B74">
      <w:pPr>
        <w:pStyle w:val="Default"/>
        <w:tabs>
          <w:tab w:val="left" w:pos="0"/>
        </w:tabs>
        <w:rPr>
          <w:rFonts w:ascii="Cambria" w:hAnsi="Cambria"/>
          <w:color w:val="auto"/>
          <w:sz w:val="22"/>
          <w:szCs w:val="22"/>
        </w:rPr>
      </w:pPr>
    </w:p>
    <w:p w:rsidR="00BE3054" w:rsidRDefault="007D013B" w:rsidP="000C2B74">
      <w:pPr>
        <w:pStyle w:val="Default"/>
        <w:tabs>
          <w:tab w:val="left" w:pos="0"/>
        </w:tabs>
        <w:rPr>
          <w:rFonts w:ascii="Cambria" w:hAnsi="Cambria"/>
          <w:color w:val="auto"/>
          <w:sz w:val="22"/>
          <w:szCs w:val="22"/>
        </w:rPr>
      </w:pPr>
      <w:r>
        <w:rPr>
          <w:rFonts w:ascii="Cambria" w:hAnsi="Cambria"/>
          <w:color w:val="auto"/>
          <w:sz w:val="22"/>
          <w:szCs w:val="22"/>
        </w:rPr>
        <w:t>IV.</w:t>
      </w:r>
      <w:r>
        <w:rPr>
          <w:rFonts w:ascii="Cambria" w:hAnsi="Cambria"/>
          <w:color w:val="auto"/>
          <w:sz w:val="22"/>
          <w:szCs w:val="22"/>
        </w:rPr>
        <w:tab/>
      </w:r>
      <w:r w:rsidR="00ED0872" w:rsidRPr="009824F1">
        <w:rPr>
          <w:rFonts w:ascii="Cambria" w:hAnsi="Cambria"/>
          <w:color w:val="auto"/>
          <w:sz w:val="22"/>
          <w:szCs w:val="22"/>
        </w:rPr>
        <w:t>Public Comment (max 3 min each)</w:t>
      </w:r>
    </w:p>
    <w:p w:rsidR="001329F3" w:rsidRDefault="001329F3" w:rsidP="000C2B74">
      <w:pPr>
        <w:pStyle w:val="Default"/>
        <w:tabs>
          <w:tab w:val="left" w:pos="0"/>
        </w:tabs>
        <w:rPr>
          <w:rFonts w:ascii="Cambria" w:hAnsi="Cambria"/>
          <w:color w:val="auto"/>
          <w:sz w:val="22"/>
          <w:szCs w:val="22"/>
        </w:rPr>
      </w:pPr>
    </w:p>
    <w:p w:rsidR="00EE3C0C" w:rsidRDefault="001329F3" w:rsidP="00CF53FE">
      <w:pPr>
        <w:pStyle w:val="Default"/>
        <w:tabs>
          <w:tab w:val="left" w:pos="0"/>
        </w:tabs>
        <w:rPr>
          <w:rFonts w:ascii="Cambria" w:hAnsi="Cambria"/>
          <w:color w:val="auto"/>
          <w:sz w:val="22"/>
          <w:szCs w:val="22"/>
        </w:rPr>
      </w:pPr>
      <w:r>
        <w:rPr>
          <w:rFonts w:ascii="Cambria" w:hAnsi="Cambria"/>
          <w:color w:val="auto"/>
          <w:sz w:val="22"/>
          <w:szCs w:val="22"/>
        </w:rPr>
        <w:t>V.</w:t>
      </w:r>
      <w:r>
        <w:rPr>
          <w:rFonts w:ascii="Cambria" w:hAnsi="Cambria"/>
          <w:color w:val="auto"/>
          <w:sz w:val="22"/>
          <w:szCs w:val="22"/>
        </w:rPr>
        <w:tab/>
      </w:r>
      <w:r w:rsidR="00EE3C0C">
        <w:rPr>
          <w:rFonts w:ascii="Cambria" w:hAnsi="Cambria"/>
          <w:color w:val="auto"/>
          <w:sz w:val="22"/>
          <w:szCs w:val="22"/>
        </w:rPr>
        <w:t>Board Work Session Items:</w:t>
      </w:r>
    </w:p>
    <w:p w:rsidR="00EE3C0C" w:rsidRDefault="00EE3C0C" w:rsidP="00CF53FE">
      <w:pPr>
        <w:pStyle w:val="Default"/>
        <w:tabs>
          <w:tab w:val="left" w:pos="0"/>
        </w:tabs>
        <w:rPr>
          <w:rFonts w:ascii="Cambria" w:hAnsi="Cambria"/>
          <w:color w:val="auto"/>
          <w:sz w:val="22"/>
          <w:szCs w:val="22"/>
        </w:rPr>
      </w:pPr>
      <w:r>
        <w:rPr>
          <w:rFonts w:ascii="Cambria" w:hAnsi="Cambria"/>
          <w:color w:val="auto"/>
          <w:sz w:val="22"/>
          <w:szCs w:val="22"/>
        </w:rPr>
        <w:tab/>
        <w:t xml:space="preserve">a.  </w:t>
      </w:r>
      <w:r w:rsidR="00B7770F">
        <w:rPr>
          <w:rFonts w:ascii="Cambria" w:hAnsi="Cambria"/>
          <w:color w:val="auto"/>
          <w:sz w:val="22"/>
          <w:szCs w:val="22"/>
        </w:rPr>
        <w:t xml:space="preserve">  </w:t>
      </w:r>
      <w:r>
        <w:rPr>
          <w:rFonts w:ascii="Cambria" w:hAnsi="Cambria"/>
          <w:color w:val="auto"/>
          <w:sz w:val="22"/>
          <w:szCs w:val="22"/>
        </w:rPr>
        <w:t xml:space="preserve">Update from the </w:t>
      </w:r>
      <w:r w:rsidR="007D013B">
        <w:rPr>
          <w:rFonts w:ascii="Cambria" w:hAnsi="Cambria"/>
          <w:color w:val="auto"/>
          <w:sz w:val="22"/>
          <w:szCs w:val="22"/>
        </w:rPr>
        <w:t>Dean of Instruction</w:t>
      </w:r>
      <w:r>
        <w:rPr>
          <w:rFonts w:ascii="Cambria" w:hAnsi="Cambria"/>
          <w:color w:val="auto"/>
          <w:sz w:val="22"/>
          <w:szCs w:val="22"/>
        </w:rPr>
        <w:t>, with Board Q &amp; A</w:t>
      </w:r>
    </w:p>
    <w:p w:rsidR="00E92E15" w:rsidRDefault="00E92E15" w:rsidP="00CF53FE">
      <w:pPr>
        <w:pStyle w:val="Default"/>
        <w:tabs>
          <w:tab w:val="left" w:pos="0"/>
        </w:tabs>
        <w:rPr>
          <w:rFonts w:ascii="Cambria" w:hAnsi="Cambria"/>
          <w:color w:val="auto"/>
          <w:sz w:val="22"/>
          <w:szCs w:val="22"/>
        </w:rPr>
      </w:pPr>
      <w:r>
        <w:rPr>
          <w:rFonts w:ascii="Cambria" w:hAnsi="Cambria"/>
          <w:color w:val="auto"/>
          <w:sz w:val="22"/>
          <w:szCs w:val="22"/>
        </w:rPr>
        <w:tab/>
        <w:t xml:space="preserve">b.  </w:t>
      </w:r>
      <w:r w:rsidR="00B7770F">
        <w:rPr>
          <w:rFonts w:ascii="Cambria" w:hAnsi="Cambria"/>
          <w:color w:val="auto"/>
          <w:sz w:val="22"/>
          <w:szCs w:val="22"/>
        </w:rPr>
        <w:t xml:space="preserve">  </w:t>
      </w:r>
      <w:r>
        <w:rPr>
          <w:rFonts w:ascii="Cambria" w:hAnsi="Cambria"/>
          <w:color w:val="auto"/>
          <w:sz w:val="22"/>
          <w:szCs w:val="22"/>
        </w:rPr>
        <w:t>Update from the Commandant, with Board Q &amp; A</w:t>
      </w:r>
    </w:p>
    <w:p w:rsidR="00E92E15" w:rsidRDefault="00E92E15" w:rsidP="00CF53FE">
      <w:pPr>
        <w:pStyle w:val="Default"/>
        <w:tabs>
          <w:tab w:val="left" w:pos="0"/>
        </w:tabs>
        <w:rPr>
          <w:rFonts w:ascii="Cambria" w:hAnsi="Cambria"/>
          <w:color w:val="auto"/>
          <w:sz w:val="22"/>
          <w:szCs w:val="22"/>
        </w:rPr>
      </w:pPr>
      <w:r>
        <w:rPr>
          <w:rFonts w:ascii="Cambria" w:hAnsi="Cambria"/>
          <w:color w:val="auto"/>
          <w:sz w:val="22"/>
          <w:szCs w:val="22"/>
        </w:rPr>
        <w:tab/>
        <w:t xml:space="preserve">c. </w:t>
      </w:r>
      <w:r w:rsidR="00B7770F">
        <w:rPr>
          <w:rFonts w:ascii="Cambria" w:hAnsi="Cambria"/>
          <w:color w:val="auto"/>
          <w:sz w:val="22"/>
          <w:szCs w:val="22"/>
        </w:rPr>
        <w:t xml:space="preserve">  </w:t>
      </w:r>
      <w:r>
        <w:rPr>
          <w:rFonts w:ascii="Cambria" w:hAnsi="Cambria"/>
          <w:color w:val="auto"/>
          <w:sz w:val="22"/>
          <w:szCs w:val="22"/>
        </w:rPr>
        <w:t xml:space="preserve"> Up</w:t>
      </w:r>
      <w:r w:rsidR="00775CF6">
        <w:rPr>
          <w:rFonts w:ascii="Cambria" w:hAnsi="Cambria"/>
          <w:color w:val="auto"/>
          <w:sz w:val="22"/>
          <w:szCs w:val="22"/>
        </w:rPr>
        <w:t>date from the Dean of Students</w:t>
      </w:r>
      <w:r>
        <w:rPr>
          <w:rFonts w:ascii="Cambria" w:hAnsi="Cambria"/>
          <w:color w:val="auto"/>
          <w:sz w:val="22"/>
          <w:szCs w:val="22"/>
        </w:rPr>
        <w:t>, with Board Q &amp; A</w:t>
      </w:r>
    </w:p>
    <w:p w:rsidR="00EE3C0C" w:rsidRDefault="00E92E15" w:rsidP="00CF53FE">
      <w:pPr>
        <w:pStyle w:val="Default"/>
        <w:tabs>
          <w:tab w:val="left" w:pos="0"/>
        </w:tabs>
        <w:rPr>
          <w:rFonts w:ascii="Cambria" w:hAnsi="Cambria"/>
          <w:color w:val="auto"/>
          <w:sz w:val="22"/>
          <w:szCs w:val="22"/>
        </w:rPr>
      </w:pPr>
      <w:r>
        <w:rPr>
          <w:rFonts w:ascii="Cambria" w:hAnsi="Cambria"/>
          <w:color w:val="auto"/>
          <w:sz w:val="22"/>
          <w:szCs w:val="22"/>
        </w:rPr>
        <w:tab/>
        <w:t xml:space="preserve">d.  </w:t>
      </w:r>
      <w:r w:rsidR="00B7770F">
        <w:rPr>
          <w:rFonts w:ascii="Cambria" w:hAnsi="Cambria"/>
          <w:color w:val="auto"/>
          <w:sz w:val="22"/>
          <w:szCs w:val="22"/>
        </w:rPr>
        <w:t xml:space="preserve">  </w:t>
      </w:r>
      <w:r w:rsidR="00EE3C0C">
        <w:rPr>
          <w:rFonts w:ascii="Cambria" w:hAnsi="Cambria"/>
          <w:color w:val="auto"/>
          <w:sz w:val="22"/>
          <w:szCs w:val="22"/>
        </w:rPr>
        <w:t>Update from the Board Action Officer, with Board Q &amp; A</w:t>
      </w:r>
    </w:p>
    <w:p w:rsidR="00EE3C0C" w:rsidRDefault="00EE3C0C" w:rsidP="00CF53FE">
      <w:pPr>
        <w:pStyle w:val="Default"/>
        <w:tabs>
          <w:tab w:val="left" w:pos="0"/>
        </w:tabs>
        <w:rPr>
          <w:rFonts w:ascii="Cambria" w:hAnsi="Cambria"/>
          <w:color w:val="auto"/>
          <w:sz w:val="22"/>
          <w:szCs w:val="22"/>
        </w:rPr>
      </w:pPr>
    </w:p>
    <w:p w:rsidR="00837E2A" w:rsidRDefault="00EE3C0C" w:rsidP="00CF53FE">
      <w:pPr>
        <w:pStyle w:val="Default"/>
        <w:tabs>
          <w:tab w:val="left" w:pos="0"/>
        </w:tabs>
        <w:rPr>
          <w:rFonts w:ascii="Cambria" w:hAnsi="Cambria"/>
          <w:color w:val="auto"/>
          <w:sz w:val="22"/>
          <w:szCs w:val="22"/>
        </w:rPr>
      </w:pPr>
      <w:r>
        <w:rPr>
          <w:rFonts w:ascii="Cambria" w:hAnsi="Cambria"/>
          <w:color w:val="auto"/>
          <w:sz w:val="22"/>
          <w:szCs w:val="22"/>
        </w:rPr>
        <w:t>V</w:t>
      </w:r>
      <w:r w:rsidR="007D013B">
        <w:rPr>
          <w:rFonts w:ascii="Cambria" w:hAnsi="Cambria"/>
          <w:color w:val="auto"/>
          <w:sz w:val="22"/>
          <w:szCs w:val="22"/>
        </w:rPr>
        <w:t>I</w:t>
      </w:r>
      <w:r>
        <w:rPr>
          <w:rFonts w:ascii="Cambria" w:hAnsi="Cambria"/>
          <w:color w:val="auto"/>
          <w:sz w:val="22"/>
          <w:szCs w:val="22"/>
        </w:rPr>
        <w:t>.</w:t>
      </w:r>
      <w:r>
        <w:rPr>
          <w:rFonts w:ascii="Cambria" w:hAnsi="Cambria"/>
          <w:color w:val="auto"/>
          <w:sz w:val="22"/>
          <w:szCs w:val="22"/>
        </w:rPr>
        <w:tab/>
      </w:r>
      <w:r w:rsidR="00837E2A" w:rsidRPr="000A25FE">
        <w:rPr>
          <w:rFonts w:ascii="Cambria" w:hAnsi="Cambria"/>
          <w:color w:val="auto"/>
          <w:sz w:val="22"/>
          <w:szCs w:val="22"/>
        </w:rPr>
        <w:t>Finance Committee Report:  Vote to accept monthly report</w:t>
      </w:r>
      <w:r w:rsidR="00837E2A">
        <w:rPr>
          <w:rFonts w:ascii="Cambria" w:hAnsi="Cambria"/>
          <w:color w:val="auto"/>
          <w:sz w:val="22"/>
          <w:szCs w:val="22"/>
        </w:rPr>
        <w:t xml:space="preserve"> </w:t>
      </w:r>
    </w:p>
    <w:p w:rsidR="00FE5D6D" w:rsidRDefault="00FE5D6D" w:rsidP="00CF53FE">
      <w:pPr>
        <w:pStyle w:val="Default"/>
        <w:tabs>
          <w:tab w:val="left" w:pos="0"/>
        </w:tabs>
        <w:rPr>
          <w:rFonts w:ascii="Cambria" w:hAnsi="Cambria"/>
          <w:color w:val="auto"/>
          <w:sz w:val="22"/>
          <w:szCs w:val="22"/>
        </w:rPr>
      </w:pPr>
      <w:r>
        <w:rPr>
          <w:rFonts w:ascii="Cambria" w:hAnsi="Cambria"/>
          <w:color w:val="auto"/>
          <w:sz w:val="22"/>
          <w:szCs w:val="22"/>
        </w:rPr>
        <w:tab/>
        <w:t xml:space="preserve">a.    Finance Budget Report: </w:t>
      </w:r>
      <w:r w:rsidR="00926545">
        <w:rPr>
          <w:rFonts w:ascii="Cambria" w:hAnsi="Cambria"/>
          <w:color w:val="auto"/>
          <w:sz w:val="22"/>
          <w:szCs w:val="22"/>
        </w:rPr>
        <w:t xml:space="preserve"> </w:t>
      </w:r>
      <w:r>
        <w:rPr>
          <w:rFonts w:ascii="Cambria" w:hAnsi="Cambria"/>
          <w:color w:val="auto"/>
          <w:sz w:val="22"/>
          <w:szCs w:val="22"/>
        </w:rPr>
        <w:t>Vote to accept report</w:t>
      </w:r>
    </w:p>
    <w:p w:rsidR="000A25FE" w:rsidRDefault="000A25FE" w:rsidP="000A25FE">
      <w:pPr>
        <w:pStyle w:val="Default"/>
        <w:tabs>
          <w:tab w:val="left" w:pos="0"/>
        </w:tabs>
        <w:ind w:left="1080"/>
        <w:rPr>
          <w:rFonts w:ascii="Cambria" w:hAnsi="Cambria"/>
          <w:color w:val="auto"/>
          <w:sz w:val="22"/>
          <w:szCs w:val="22"/>
        </w:rPr>
      </w:pPr>
    </w:p>
    <w:p w:rsidR="00561C27" w:rsidRDefault="00420FA5" w:rsidP="00561C27">
      <w:pPr>
        <w:pStyle w:val="Default"/>
        <w:tabs>
          <w:tab w:val="left" w:pos="0"/>
        </w:tabs>
        <w:rPr>
          <w:rFonts w:ascii="Cambria" w:hAnsi="Cambria"/>
          <w:color w:val="auto"/>
          <w:sz w:val="22"/>
          <w:szCs w:val="22"/>
        </w:rPr>
      </w:pPr>
      <w:r>
        <w:rPr>
          <w:rFonts w:ascii="Cambria" w:hAnsi="Cambria"/>
          <w:color w:val="auto"/>
          <w:sz w:val="22"/>
          <w:szCs w:val="22"/>
        </w:rPr>
        <w:t>VII</w:t>
      </w:r>
      <w:r w:rsidR="000A25FE">
        <w:rPr>
          <w:rFonts w:ascii="Cambria" w:hAnsi="Cambria"/>
          <w:color w:val="auto"/>
          <w:sz w:val="22"/>
          <w:szCs w:val="22"/>
        </w:rPr>
        <w:t>.</w:t>
      </w:r>
      <w:r w:rsidR="000A25FE">
        <w:rPr>
          <w:rFonts w:ascii="Cambria" w:hAnsi="Cambria"/>
          <w:color w:val="auto"/>
          <w:sz w:val="22"/>
          <w:szCs w:val="22"/>
        </w:rPr>
        <w:tab/>
      </w:r>
      <w:r w:rsidR="00837E2A">
        <w:rPr>
          <w:rFonts w:ascii="Cambria" w:hAnsi="Cambria"/>
          <w:color w:val="auto"/>
          <w:sz w:val="22"/>
          <w:szCs w:val="22"/>
        </w:rPr>
        <w:t>Action Item:</w:t>
      </w:r>
    </w:p>
    <w:p w:rsidR="00FF1FD7" w:rsidRDefault="00561C27" w:rsidP="00561C27">
      <w:pPr>
        <w:pStyle w:val="Default"/>
        <w:tabs>
          <w:tab w:val="left" w:pos="0"/>
        </w:tabs>
        <w:rPr>
          <w:rFonts w:ascii="Cambria" w:hAnsi="Cambria"/>
          <w:color w:val="auto"/>
          <w:sz w:val="22"/>
          <w:szCs w:val="22"/>
        </w:rPr>
      </w:pPr>
      <w:r>
        <w:rPr>
          <w:rFonts w:ascii="Cambria" w:hAnsi="Cambria"/>
          <w:color w:val="auto"/>
          <w:sz w:val="22"/>
          <w:szCs w:val="22"/>
        </w:rPr>
        <w:tab/>
        <w:t xml:space="preserve">a.    </w:t>
      </w:r>
      <w:r w:rsidR="00FF1FD7">
        <w:rPr>
          <w:rFonts w:ascii="Cambria" w:hAnsi="Cambria"/>
          <w:color w:val="auto"/>
          <w:sz w:val="22"/>
          <w:szCs w:val="22"/>
        </w:rPr>
        <w:t>Suspension and Expulsion Policy</w:t>
      </w:r>
      <w:r w:rsidR="00FE5D6D">
        <w:rPr>
          <w:rFonts w:ascii="Cambria" w:hAnsi="Cambria"/>
          <w:color w:val="auto"/>
          <w:sz w:val="22"/>
          <w:szCs w:val="22"/>
        </w:rPr>
        <w:tab/>
      </w:r>
    </w:p>
    <w:p w:rsidR="00FE5D6D" w:rsidRDefault="00FF1FD7" w:rsidP="00FF1FD7">
      <w:pPr>
        <w:pStyle w:val="Default"/>
        <w:tabs>
          <w:tab w:val="left" w:pos="0"/>
        </w:tabs>
        <w:rPr>
          <w:rFonts w:ascii="Cambria" w:hAnsi="Cambria"/>
          <w:color w:val="auto"/>
          <w:sz w:val="22"/>
          <w:szCs w:val="22"/>
        </w:rPr>
      </w:pPr>
      <w:r>
        <w:rPr>
          <w:rFonts w:ascii="Cambria" w:hAnsi="Cambria"/>
          <w:color w:val="auto"/>
          <w:sz w:val="22"/>
          <w:szCs w:val="22"/>
        </w:rPr>
        <w:tab/>
      </w:r>
      <w:r w:rsidR="00FE5D6D">
        <w:rPr>
          <w:rFonts w:ascii="Cambria" w:hAnsi="Cambria"/>
          <w:color w:val="auto"/>
          <w:sz w:val="22"/>
          <w:szCs w:val="22"/>
        </w:rPr>
        <w:t xml:space="preserve">b.    </w:t>
      </w:r>
      <w:r>
        <w:rPr>
          <w:rFonts w:ascii="Cambria" w:hAnsi="Cambria"/>
          <w:color w:val="auto"/>
          <w:sz w:val="22"/>
          <w:szCs w:val="22"/>
        </w:rPr>
        <w:t>Lottery Change</w:t>
      </w:r>
      <w:r w:rsidR="00FE5D6D">
        <w:rPr>
          <w:rFonts w:ascii="Cambria" w:hAnsi="Cambria"/>
          <w:color w:val="auto"/>
          <w:sz w:val="22"/>
          <w:szCs w:val="22"/>
        </w:rPr>
        <w:t xml:space="preserve"> </w:t>
      </w:r>
    </w:p>
    <w:p w:rsidR="00CF53FE" w:rsidRDefault="00CF53FE" w:rsidP="00CF53FE">
      <w:pPr>
        <w:pStyle w:val="Default"/>
        <w:tabs>
          <w:tab w:val="left" w:pos="0"/>
        </w:tabs>
        <w:rPr>
          <w:rFonts w:ascii="Cambria" w:hAnsi="Cambria"/>
          <w:color w:val="auto"/>
          <w:sz w:val="22"/>
          <w:szCs w:val="22"/>
        </w:rPr>
      </w:pPr>
    </w:p>
    <w:p w:rsidR="005E2DD6" w:rsidRPr="005E2DD6" w:rsidRDefault="00D16DD6" w:rsidP="005E2DD6">
      <w:pPr>
        <w:pStyle w:val="Default"/>
        <w:tabs>
          <w:tab w:val="left" w:pos="0"/>
        </w:tabs>
        <w:rPr>
          <w:rFonts w:ascii="Times New Roman" w:hAnsi="Times New Roman" w:cs="Times New Roman"/>
          <w:color w:val="222222"/>
          <w:shd w:val="clear" w:color="auto" w:fill="FFFFFF"/>
        </w:rPr>
      </w:pPr>
      <w:r>
        <w:rPr>
          <w:rFonts w:ascii="Cambria" w:hAnsi="Cambria"/>
        </w:rPr>
        <w:t>VI</w:t>
      </w:r>
      <w:r w:rsidR="00FF1FD7">
        <w:rPr>
          <w:rFonts w:ascii="Cambria" w:hAnsi="Cambria"/>
        </w:rPr>
        <w:t>I</w:t>
      </w:r>
      <w:r>
        <w:rPr>
          <w:rFonts w:ascii="Cambria" w:hAnsi="Cambria"/>
        </w:rPr>
        <w:t>I.</w:t>
      </w:r>
      <w:r w:rsidR="005E2DD6">
        <w:rPr>
          <w:rFonts w:ascii="Cambria" w:hAnsi="Cambria"/>
        </w:rPr>
        <w:tab/>
      </w:r>
      <w:r w:rsidR="005E2DD6" w:rsidRPr="00A23E7A">
        <w:rPr>
          <w:rFonts w:ascii="Cambria" w:hAnsi="Cambria"/>
        </w:rPr>
        <w:t xml:space="preserve">Executive Session:  </w:t>
      </w:r>
      <w:r w:rsidR="00FF1FD7">
        <w:rPr>
          <w:rFonts w:ascii="Cambria" w:hAnsi="Cambria"/>
        </w:rPr>
        <w:t>Motion to enter into Executive</w:t>
      </w:r>
      <w:r w:rsidR="009E1CCA">
        <w:rPr>
          <w:rFonts w:ascii="Cambria" w:hAnsi="Cambria"/>
        </w:rPr>
        <w:t xml:space="preserve"> Session</w:t>
      </w:r>
      <w:r w:rsidR="00256B19">
        <w:rPr>
          <w:rFonts w:ascii="Times New Roman" w:hAnsi="Times New Roman" w:cs="Times New Roman"/>
          <w:color w:val="222222"/>
          <w:shd w:val="clear" w:color="auto" w:fill="FFFFFF"/>
        </w:rPr>
        <w:t xml:space="preserve">, </w:t>
      </w:r>
      <w:r w:rsidR="00B600B8">
        <w:rPr>
          <w:rFonts w:ascii="Times New Roman" w:hAnsi="Times New Roman" w:cs="Times New Roman"/>
          <w:color w:val="222222"/>
          <w:shd w:val="clear" w:color="auto" w:fill="FFFFFF"/>
        </w:rPr>
        <w:t xml:space="preserve">to discuss negotiations, </w:t>
      </w:r>
      <w:r w:rsidR="005E2DD6" w:rsidRPr="005E2DD6">
        <w:rPr>
          <w:rFonts w:ascii="Times New Roman" w:hAnsi="Times New Roman" w:cs="Times New Roman"/>
          <w:color w:val="222222"/>
          <w:shd w:val="clear" w:color="auto" w:fill="FFFFFF"/>
        </w:rPr>
        <w:t>pursuant to C</w:t>
      </w:r>
      <w:r w:rsidR="00256B19">
        <w:rPr>
          <w:rFonts w:ascii="Times New Roman" w:hAnsi="Times New Roman" w:cs="Times New Roman"/>
          <w:color w:val="222222"/>
          <w:shd w:val="clear" w:color="auto" w:fill="FFFFFF"/>
        </w:rPr>
        <w:t xml:space="preserve">olorado’s </w:t>
      </w:r>
      <w:r w:rsidR="00B600B8">
        <w:rPr>
          <w:rFonts w:ascii="Times New Roman" w:hAnsi="Times New Roman" w:cs="Times New Roman"/>
          <w:color w:val="222222"/>
          <w:shd w:val="clear" w:color="auto" w:fill="FFFFFF"/>
        </w:rPr>
        <w:t>Open Meetings Law</w:t>
      </w:r>
      <w:r w:rsidR="00C74400">
        <w:rPr>
          <w:rFonts w:ascii="Times New Roman" w:hAnsi="Times New Roman" w:cs="Times New Roman"/>
          <w:color w:val="222222"/>
          <w:shd w:val="clear" w:color="auto" w:fill="FFFFFF"/>
        </w:rPr>
        <w:t>.</w:t>
      </w:r>
      <w:r w:rsidR="00C3659B">
        <w:rPr>
          <w:rFonts w:ascii="Times New Roman" w:hAnsi="Times New Roman" w:cs="Times New Roman"/>
          <w:color w:val="222222"/>
          <w:shd w:val="clear" w:color="auto" w:fill="FFFFFF"/>
        </w:rPr>
        <w:t xml:space="preserve"> (e) (I) Determining positions relative to matters that may be subject to negotiations; developing strategy for negotiations; and instructing negotiators. </w:t>
      </w:r>
      <w:r w:rsidR="005E2DD6" w:rsidRPr="005E2DD6">
        <w:rPr>
          <w:rFonts w:ascii="Times New Roman" w:hAnsi="Times New Roman" w:cs="Times New Roman"/>
          <w:color w:val="222222"/>
          <w:shd w:val="clear" w:color="auto" w:fill="FFFFFF"/>
        </w:rPr>
        <w:t xml:space="preserve">  </w:t>
      </w:r>
    </w:p>
    <w:p w:rsidR="005E2DD6" w:rsidRDefault="005E2DD6" w:rsidP="005E2DD6">
      <w:pPr>
        <w:pStyle w:val="Default"/>
        <w:tabs>
          <w:tab w:val="left" w:pos="0"/>
        </w:tabs>
        <w:rPr>
          <w:rFonts w:ascii="Cambria" w:hAnsi="Cambria"/>
          <w:sz w:val="22"/>
          <w:szCs w:val="22"/>
        </w:rPr>
      </w:pPr>
    </w:p>
    <w:p w:rsidR="00FF1FD7" w:rsidRDefault="00D16DD6" w:rsidP="00D16DD6">
      <w:pPr>
        <w:pStyle w:val="Default"/>
        <w:tabs>
          <w:tab w:val="left" w:pos="0"/>
        </w:tabs>
        <w:rPr>
          <w:rFonts w:ascii="Cambria" w:hAnsi="Cambria"/>
          <w:color w:val="auto"/>
          <w:sz w:val="22"/>
          <w:szCs w:val="22"/>
        </w:rPr>
      </w:pPr>
      <w:r>
        <w:rPr>
          <w:rFonts w:ascii="Cambria" w:hAnsi="Cambria"/>
          <w:color w:val="auto"/>
          <w:sz w:val="22"/>
          <w:szCs w:val="22"/>
        </w:rPr>
        <w:t>I</w:t>
      </w:r>
      <w:r w:rsidR="000C2B74">
        <w:rPr>
          <w:rFonts w:ascii="Cambria" w:hAnsi="Cambria"/>
          <w:color w:val="auto"/>
          <w:sz w:val="22"/>
          <w:szCs w:val="22"/>
        </w:rPr>
        <w:t>X</w:t>
      </w:r>
      <w:r w:rsidR="005E2DD6">
        <w:rPr>
          <w:rFonts w:ascii="Cambria" w:hAnsi="Cambria"/>
          <w:color w:val="auto"/>
          <w:sz w:val="22"/>
          <w:szCs w:val="22"/>
        </w:rPr>
        <w:t>.</w:t>
      </w:r>
      <w:r w:rsidR="005E2DD6">
        <w:rPr>
          <w:rFonts w:ascii="Cambria" w:hAnsi="Cambria"/>
          <w:color w:val="auto"/>
          <w:sz w:val="22"/>
          <w:szCs w:val="22"/>
        </w:rPr>
        <w:tab/>
      </w:r>
      <w:r w:rsidR="00256B19">
        <w:rPr>
          <w:rFonts w:ascii="Cambria" w:hAnsi="Cambria"/>
          <w:color w:val="auto"/>
          <w:sz w:val="22"/>
          <w:szCs w:val="22"/>
        </w:rPr>
        <w:t>Other Business</w:t>
      </w:r>
      <w:r w:rsidR="009F0338" w:rsidRPr="00DD0AB3">
        <w:rPr>
          <w:rFonts w:ascii="Cambria" w:hAnsi="Cambria"/>
          <w:color w:val="auto"/>
          <w:sz w:val="22"/>
          <w:szCs w:val="22"/>
        </w:rPr>
        <w:t xml:space="preserve">:  </w:t>
      </w:r>
    </w:p>
    <w:p w:rsidR="00FF1FD7" w:rsidRDefault="00FF1FD7" w:rsidP="00FF1FD7">
      <w:pPr>
        <w:pStyle w:val="Default"/>
        <w:tabs>
          <w:tab w:val="left" w:pos="0"/>
        </w:tabs>
        <w:rPr>
          <w:rFonts w:ascii="Cambria" w:hAnsi="Cambria"/>
          <w:color w:val="auto"/>
          <w:sz w:val="22"/>
          <w:szCs w:val="22"/>
        </w:rPr>
      </w:pPr>
      <w:r>
        <w:rPr>
          <w:rFonts w:ascii="Cambria" w:hAnsi="Cambria"/>
          <w:color w:val="auto"/>
          <w:sz w:val="22"/>
          <w:szCs w:val="22"/>
        </w:rPr>
        <w:tab/>
        <w:t>a.   CSI Accreditation Contract – re-execution</w:t>
      </w:r>
    </w:p>
    <w:p w:rsidR="00A92E3C" w:rsidRDefault="00FF1FD7" w:rsidP="00D16DD6">
      <w:pPr>
        <w:pStyle w:val="Default"/>
        <w:tabs>
          <w:tab w:val="left" w:pos="0"/>
        </w:tabs>
        <w:rPr>
          <w:rFonts w:ascii="Cambria" w:hAnsi="Cambria"/>
          <w:color w:val="auto"/>
          <w:sz w:val="22"/>
          <w:szCs w:val="22"/>
        </w:rPr>
      </w:pPr>
      <w:r>
        <w:rPr>
          <w:rFonts w:ascii="Cambria" w:hAnsi="Cambria"/>
          <w:color w:val="auto"/>
          <w:sz w:val="22"/>
          <w:szCs w:val="22"/>
        </w:rPr>
        <w:tab/>
        <w:t xml:space="preserve">b.   CSI Contract Approved   </w:t>
      </w:r>
      <w:r w:rsidR="007F1A7F">
        <w:rPr>
          <w:rFonts w:ascii="Cambria" w:hAnsi="Cambria"/>
          <w:color w:val="auto"/>
          <w:sz w:val="22"/>
          <w:szCs w:val="22"/>
        </w:rPr>
        <w:tab/>
        <w:t xml:space="preserve"> </w:t>
      </w:r>
    </w:p>
    <w:p w:rsidR="009E1CCA" w:rsidRPr="00B7770F" w:rsidRDefault="009E1CCA" w:rsidP="009E1CCA">
      <w:pPr>
        <w:pStyle w:val="Default"/>
        <w:tabs>
          <w:tab w:val="left" w:pos="0"/>
        </w:tabs>
        <w:rPr>
          <w:rFonts w:ascii="Cambria" w:hAnsi="Cambria"/>
          <w:color w:val="auto"/>
          <w:sz w:val="22"/>
          <w:szCs w:val="22"/>
        </w:rPr>
      </w:pPr>
      <w:r>
        <w:rPr>
          <w:rFonts w:ascii="Cambria" w:hAnsi="Cambria"/>
          <w:color w:val="auto"/>
          <w:sz w:val="22"/>
          <w:szCs w:val="22"/>
        </w:rPr>
        <w:tab/>
        <w:t xml:space="preserve">c.    </w:t>
      </w:r>
      <w:r w:rsidRPr="00B7770F">
        <w:rPr>
          <w:rFonts w:ascii="Cambria" w:hAnsi="Cambria"/>
          <w:color w:val="auto"/>
          <w:sz w:val="22"/>
          <w:szCs w:val="22"/>
        </w:rPr>
        <w:t xml:space="preserve">Next Board Meeting </w:t>
      </w:r>
      <w:r>
        <w:rPr>
          <w:rFonts w:ascii="Cambria" w:hAnsi="Cambria"/>
          <w:color w:val="auto"/>
          <w:sz w:val="22"/>
          <w:szCs w:val="22"/>
        </w:rPr>
        <w:t>February 4</w:t>
      </w:r>
      <w:r w:rsidRPr="00B7770F">
        <w:rPr>
          <w:rFonts w:ascii="Cambria" w:hAnsi="Cambria"/>
          <w:color w:val="auto"/>
          <w:sz w:val="22"/>
          <w:szCs w:val="22"/>
        </w:rPr>
        <w:t>, 4:00 PM at CMA</w:t>
      </w:r>
    </w:p>
    <w:p w:rsidR="00F703BA" w:rsidRDefault="00F703BA" w:rsidP="00F703BA">
      <w:pPr>
        <w:pStyle w:val="Default"/>
        <w:tabs>
          <w:tab w:val="left" w:pos="0"/>
        </w:tabs>
        <w:ind w:left="720"/>
        <w:rPr>
          <w:rFonts w:ascii="Cambria" w:eastAsia="Cambria" w:hAnsi="Cambria" w:cs="Cambria"/>
          <w:sz w:val="22"/>
          <w:szCs w:val="22"/>
        </w:rPr>
      </w:pPr>
      <w:r>
        <w:rPr>
          <w:rFonts w:ascii="Cambria" w:hAnsi="Cambria"/>
          <w:color w:val="auto"/>
          <w:sz w:val="22"/>
          <w:szCs w:val="22"/>
        </w:rPr>
        <w:t xml:space="preserve">        </w:t>
      </w:r>
    </w:p>
    <w:p w:rsidR="00A23E7A" w:rsidRDefault="00256B19" w:rsidP="00A23E7A">
      <w:pPr>
        <w:autoSpaceDE w:val="0"/>
        <w:autoSpaceDN w:val="0"/>
        <w:adjustRightInd w:val="0"/>
        <w:spacing w:after="0" w:line="240" w:lineRule="auto"/>
        <w:rPr>
          <w:rFonts w:ascii="Cambria" w:hAnsi="Cambria" w:cs="Cambria"/>
          <w:color w:val="000000"/>
        </w:rPr>
      </w:pPr>
      <w:r>
        <w:rPr>
          <w:rFonts w:ascii="Cambria" w:hAnsi="Cambria" w:cs="Cambria"/>
          <w:color w:val="000000"/>
        </w:rPr>
        <w:t>X</w:t>
      </w:r>
      <w:r w:rsidR="00A23E7A" w:rsidRPr="00A23E7A">
        <w:rPr>
          <w:rFonts w:ascii="Cambria" w:hAnsi="Cambria" w:cs="Cambria"/>
          <w:color w:val="000000"/>
        </w:rPr>
        <w:t xml:space="preserve">. </w:t>
      </w:r>
      <w:r w:rsidR="00AA74E6">
        <w:rPr>
          <w:rFonts w:ascii="Cambria" w:hAnsi="Cambria" w:cs="Cambria"/>
          <w:color w:val="000000"/>
        </w:rPr>
        <w:tab/>
        <w:t>Adjourn.</w:t>
      </w:r>
    </w:p>
    <w:p w:rsidR="00D70D9E" w:rsidRDefault="00D70D9E" w:rsidP="00A23E7A">
      <w:pPr>
        <w:pStyle w:val="Default"/>
        <w:tabs>
          <w:tab w:val="left" w:pos="0"/>
        </w:tabs>
        <w:rPr>
          <w:rFonts w:ascii="Cambria" w:hAnsi="Cambria"/>
          <w:sz w:val="22"/>
          <w:szCs w:val="22"/>
        </w:rPr>
      </w:pPr>
    </w:p>
    <w:p w:rsidR="00FF1FD7" w:rsidRDefault="00FF1FD7" w:rsidP="00A23E7A">
      <w:pPr>
        <w:pStyle w:val="Default"/>
        <w:tabs>
          <w:tab w:val="left" w:pos="0"/>
        </w:tabs>
        <w:rPr>
          <w:rFonts w:ascii="Cambria" w:hAnsi="Cambria"/>
          <w:sz w:val="22"/>
          <w:szCs w:val="22"/>
        </w:rPr>
      </w:pPr>
    </w:p>
    <w:p w:rsidR="00FF1FD7" w:rsidRPr="00607AB1" w:rsidRDefault="00FF1FD7" w:rsidP="00A23E7A">
      <w:pPr>
        <w:pStyle w:val="Default"/>
        <w:tabs>
          <w:tab w:val="left" w:pos="0"/>
        </w:tabs>
        <w:rPr>
          <w:rFonts w:ascii="Cambria" w:hAnsi="Cambria"/>
          <w:sz w:val="22"/>
          <w:szCs w:val="22"/>
        </w:rPr>
      </w:pPr>
    </w:p>
    <w:p w:rsidR="007F1A7F" w:rsidRDefault="007F1A7F" w:rsidP="009563EA">
      <w:pPr>
        <w:pStyle w:val="Default"/>
        <w:tabs>
          <w:tab w:val="left" w:pos="0"/>
        </w:tabs>
        <w:rPr>
          <w:rFonts w:ascii="Cambria" w:hAnsi="Cambria"/>
          <w:sz w:val="22"/>
          <w:szCs w:val="22"/>
        </w:rPr>
      </w:pP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(a) The purchase, acquisition, lease, transfer, or sale of any real, personal, or other property interest; except that no executive session shall be held for the purpose of concealing the fact that a member of the local public body has a personal interest in such purchase, acquisition, lease, transfer, or sale;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(b) Conferences with an attorney for the local public body for the purposes of receiving legal advice on specific legal questions. Mere presence or participation of an attorney at an executive session of the local public body is not sufficient to satisfy the requirements of this subsection (4).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(c) Matters required to be kept confidential by federal or state law or rules and regulations. The local public body shall announce the specific citation of the statutes or rules that are the basis for such confidentiality before holding the executive session.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(d) Specialized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(e) (I) Determining positions relative to matters that may be subject to negotiations; developing strategy for negotiations; and instructing negotiators. </w:t>
      </w:r>
    </w:p>
    <w:p w:rsidR="00EB14BC" w:rsidRDefault="00EB14BC" w:rsidP="009563EA">
      <w:pPr>
        <w:pStyle w:val="Default"/>
        <w:tabs>
          <w:tab w:val="left" w:pos="0"/>
        </w:tabs>
        <w:rPr>
          <w:rFonts w:ascii="Cambria" w:hAnsi="Cambria"/>
          <w:sz w:val="22"/>
          <w:szCs w:val="22"/>
        </w:rPr>
      </w:pPr>
      <w:r>
        <w:rPr>
          <w:rFonts w:ascii="Cambria" w:hAnsi="Cambria"/>
          <w:sz w:val="22"/>
          <w:szCs w:val="22"/>
        </w:rPr>
        <w:t xml:space="preserve">       </w:t>
      </w:r>
      <w:r w:rsidR="009563EA" w:rsidRPr="009563EA">
        <w:rPr>
          <w:rFonts w:ascii="Cambria" w:hAnsi="Cambria"/>
          <w:sz w:val="22"/>
          <w:szCs w:val="22"/>
        </w:rPr>
        <w:t xml:space="preserve">(II) The provisions of subparagraph (I) of this paragraph (e) shall not apply to a meeting of the members of a board of education of a school district: </w:t>
      </w:r>
    </w:p>
    <w:p w:rsidR="00EB14BC" w:rsidRDefault="00EB14BC" w:rsidP="009563EA">
      <w:pPr>
        <w:pStyle w:val="Default"/>
        <w:tabs>
          <w:tab w:val="left" w:pos="0"/>
        </w:tabs>
        <w:rPr>
          <w:rFonts w:ascii="Cambria" w:hAnsi="Cambria"/>
          <w:sz w:val="22"/>
          <w:szCs w:val="22"/>
        </w:rPr>
      </w:pPr>
      <w:r>
        <w:rPr>
          <w:rFonts w:ascii="Cambria" w:hAnsi="Cambria"/>
          <w:sz w:val="22"/>
          <w:szCs w:val="22"/>
        </w:rPr>
        <w:tab/>
      </w:r>
      <w:r w:rsidR="009563EA" w:rsidRPr="009563EA">
        <w:rPr>
          <w:rFonts w:ascii="Cambria" w:hAnsi="Cambria"/>
          <w:sz w:val="22"/>
          <w:szCs w:val="22"/>
        </w:rPr>
        <w:t xml:space="preserve">(A) During which negotiations relating to collective bargaining, as defined in section 8-3-104 (3), C.R.S., are discussed; or </w:t>
      </w:r>
    </w:p>
    <w:p w:rsidR="00EB14BC" w:rsidRDefault="00EB14BC" w:rsidP="009563EA">
      <w:pPr>
        <w:pStyle w:val="Default"/>
        <w:tabs>
          <w:tab w:val="left" w:pos="0"/>
        </w:tabs>
        <w:rPr>
          <w:rFonts w:ascii="Cambria" w:hAnsi="Cambria"/>
          <w:sz w:val="22"/>
          <w:szCs w:val="22"/>
        </w:rPr>
      </w:pPr>
      <w:r>
        <w:rPr>
          <w:rFonts w:ascii="Cambria" w:hAnsi="Cambria"/>
          <w:sz w:val="22"/>
          <w:szCs w:val="22"/>
        </w:rPr>
        <w:tab/>
      </w:r>
      <w:r w:rsidR="009563EA" w:rsidRPr="009563EA">
        <w:rPr>
          <w:rFonts w:ascii="Cambria" w:hAnsi="Cambria"/>
          <w:sz w:val="22"/>
          <w:szCs w:val="22"/>
        </w:rPr>
        <w:t xml:space="preserve">(B) During which negotiations for employment contracts, other than negotiations for an individual employee's contract, are discussed.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(f) (I) Personnel matters except if the employee who is the subject of the session has requested an open meeting, or if the personnel matter involves more than one employee, all of the employees have requested an open meeting. With respect to hearings held pursuant to the "Teacher Employment, Compensation, and Board Meeting Compliance Checklist 5 Last Rev. 11/3/17 Dismissal Act of 1990", article 63 of title 22, C.R.S., the provisions of section 22-63-302 (7) (a), C.R.S., shall govern in lieu of the provisions of this subsection (4). </w:t>
      </w:r>
    </w:p>
    <w:p w:rsidR="00EB14BC" w:rsidRDefault="00EB14BC" w:rsidP="009563EA">
      <w:pPr>
        <w:pStyle w:val="Default"/>
        <w:tabs>
          <w:tab w:val="left" w:pos="0"/>
        </w:tabs>
        <w:rPr>
          <w:rFonts w:ascii="Cambria" w:hAnsi="Cambria"/>
          <w:sz w:val="22"/>
          <w:szCs w:val="22"/>
        </w:rPr>
      </w:pPr>
      <w:r>
        <w:rPr>
          <w:rFonts w:ascii="Cambria" w:hAnsi="Cambria"/>
          <w:sz w:val="22"/>
          <w:szCs w:val="22"/>
        </w:rPr>
        <w:t xml:space="preserve">       </w:t>
      </w:r>
      <w:r w:rsidR="009563EA" w:rsidRPr="009563EA">
        <w:rPr>
          <w:rFonts w:ascii="Cambria" w:hAnsi="Cambria"/>
          <w:sz w:val="22"/>
          <w:szCs w:val="22"/>
        </w:rPr>
        <w:t xml:space="preserve">(II) The provisions of subparagraph (I) of this paragraph (f) shall not apply to discussions concerning any member of the local public body, any elected official, or the appointment of a person to fill the office of a member of the local public body or an elected official or to discussions of personnel policies that do not require the discussion of matters personal to particular employees. </w:t>
      </w:r>
    </w:p>
    <w:p w:rsidR="00EB14BC" w:rsidRDefault="009563EA" w:rsidP="009563EA">
      <w:pPr>
        <w:pStyle w:val="Default"/>
        <w:tabs>
          <w:tab w:val="left" w:pos="0"/>
        </w:tabs>
        <w:rPr>
          <w:rFonts w:ascii="Cambria" w:hAnsi="Cambria"/>
          <w:sz w:val="22"/>
          <w:szCs w:val="22"/>
        </w:rPr>
      </w:pPr>
      <w:r w:rsidRPr="009563EA">
        <w:rPr>
          <w:rFonts w:ascii="Cambria" w:hAnsi="Cambria"/>
          <w:sz w:val="22"/>
          <w:szCs w:val="22"/>
        </w:rPr>
        <w:t xml:space="preserve">(g) Consideration of any documents protected by the mandatory nondisclosure provisions of the "Colorado Open Records Act", part 2 of article 72 of this title; except that all consideration of documents or records that are work product as defined in section 24-72-202 (6.5) or that are subject to the governmental or deliberative process privilege shall occur in a public meeting unless an executive session is otherwise allowed pursuant to this subsection (4); </w:t>
      </w:r>
    </w:p>
    <w:p w:rsidR="009563EA" w:rsidRPr="009563EA" w:rsidRDefault="009563EA" w:rsidP="009563EA">
      <w:pPr>
        <w:pStyle w:val="Default"/>
        <w:tabs>
          <w:tab w:val="left" w:pos="0"/>
        </w:tabs>
        <w:rPr>
          <w:rFonts w:ascii="Cambria" w:hAnsi="Cambria"/>
          <w:sz w:val="22"/>
          <w:szCs w:val="22"/>
        </w:rPr>
      </w:pPr>
      <w:r w:rsidRPr="009563EA">
        <w:rPr>
          <w:rFonts w:ascii="Cambria" w:hAnsi="Cambria"/>
          <w:sz w:val="22"/>
          <w:szCs w:val="22"/>
        </w:rPr>
        <w:t>(h) Discussion of individual students where public disclosure would adversely affect the person or persons involved.</w:t>
      </w: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48" w:rsidRDefault="00653148" w:rsidP="009A75B8">
      <w:pPr>
        <w:spacing w:after="0" w:line="240" w:lineRule="auto"/>
      </w:pPr>
      <w:r>
        <w:separator/>
      </w:r>
    </w:p>
  </w:endnote>
  <w:endnote w:type="continuationSeparator" w:id="0">
    <w:p w:rsidR="00653148" w:rsidRDefault="00653148"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48" w:rsidRDefault="00653148" w:rsidP="009A75B8">
      <w:pPr>
        <w:spacing w:after="0" w:line="240" w:lineRule="auto"/>
      </w:pPr>
      <w:r>
        <w:separator/>
      </w:r>
    </w:p>
  </w:footnote>
  <w:footnote w:type="continuationSeparator" w:id="0">
    <w:p w:rsidR="00653148" w:rsidRDefault="00653148"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5"/>
  </w:num>
  <w:num w:numId="9">
    <w:abstractNumId w:val="9"/>
  </w:num>
  <w:num w:numId="10">
    <w:abstractNumId w:val="8"/>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79EB"/>
    <w:rsid w:val="00080E94"/>
    <w:rsid w:val="00081A31"/>
    <w:rsid w:val="00084328"/>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6D4A"/>
    <w:rsid w:val="000E01BD"/>
    <w:rsid w:val="000E3209"/>
    <w:rsid w:val="000E7A7C"/>
    <w:rsid w:val="000F03AF"/>
    <w:rsid w:val="000F46BD"/>
    <w:rsid w:val="000F5589"/>
    <w:rsid w:val="000F600E"/>
    <w:rsid w:val="00101564"/>
    <w:rsid w:val="00102B3A"/>
    <w:rsid w:val="0010406B"/>
    <w:rsid w:val="001207E9"/>
    <w:rsid w:val="0012081C"/>
    <w:rsid w:val="00120D64"/>
    <w:rsid w:val="00123883"/>
    <w:rsid w:val="00123E4C"/>
    <w:rsid w:val="00127E88"/>
    <w:rsid w:val="00130DF6"/>
    <w:rsid w:val="001329F3"/>
    <w:rsid w:val="00133D61"/>
    <w:rsid w:val="001360CB"/>
    <w:rsid w:val="001371E5"/>
    <w:rsid w:val="001440F1"/>
    <w:rsid w:val="001457E0"/>
    <w:rsid w:val="00145F0B"/>
    <w:rsid w:val="00147ABC"/>
    <w:rsid w:val="00150EA0"/>
    <w:rsid w:val="00152B6D"/>
    <w:rsid w:val="00156B8B"/>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3AE6"/>
    <w:rsid w:val="001A738E"/>
    <w:rsid w:val="001B4522"/>
    <w:rsid w:val="001B4C5A"/>
    <w:rsid w:val="001C4D4B"/>
    <w:rsid w:val="001D5BC5"/>
    <w:rsid w:val="001E0BAD"/>
    <w:rsid w:val="001E404C"/>
    <w:rsid w:val="001E4395"/>
    <w:rsid w:val="001E5438"/>
    <w:rsid w:val="001E7348"/>
    <w:rsid w:val="001F0FCF"/>
    <w:rsid w:val="001F1EA4"/>
    <w:rsid w:val="001F3313"/>
    <w:rsid w:val="001F4A7F"/>
    <w:rsid w:val="001F689C"/>
    <w:rsid w:val="00201FAE"/>
    <w:rsid w:val="002035E2"/>
    <w:rsid w:val="0020480C"/>
    <w:rsid w:val="00206323"/>
    <w:rsid w:val="00206E41"/>
    <w:rsid w:val="00210956"/>
    <w:rsid w:val="002114D8"/>
    <w:rsid w:val="002114F4"/>
    <w:rsid w:val="00212CF1"/>
    <w:rsid w:val="00212D05"/>
    <w:rsid w:val="00213A61"/>
    <w:rsid w:val="00215319"/>
    <w:rsid w:val="002154A0"/>
    <w:rsid w:val="00223056"/>
    <w:rsid w:val="00226ED2"/>
    <w:rsid w:val="00231FE9"/>
    <w:rsid w:val="0024102F"/>
    <w:rsid w:val="00242A22"/>
    <w:rsid w:val="00252080"/>
    <w:rsid w:val="0025299B"/>
    <w:rsid w:val="0025382E"/>
    <w:rsid w:val="0025406D"/>
    <w:rsid w:val="002543FE"/>
    <w:rsid w:val="00254437"/>
    <w:rsid w:val="002549EC"/>
    <w:rsid w:val="00255BE9"/>
    <w:rsid w:val="00256B19"/>
    <w:rsid w:val="00256C2A"/>
    <w:rsid w:val="00264A32"/>
    <w:rsid w:val="00265976"/>
    <w:rsid w:val="00267340"/>
    <w:rsid w:val="002673D4"/>
    <w:rsid w:val="00271CB8"/>
    <w:rsid w:val="00275B62"/>
    <w:rsid w:val="002770DD"/>
    <w:rsid w:val="00277963"/>
    <w:rsid w:val="00277D95"/>
    <w:rsid w:val="00277DE1"/>
    <w:rsid w:val="00283F55"/>
    <w:rsid w:val="002852C6"/>
    <w:rsid w:val="00294DD3"/>
    <w:rsid w:val="002956AE"/>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43EA"/>
    <w:rsid w:val="002D7A75"/>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4728"/>
    <w:rsid w:val="00316D18"/>
    <w:rsid w:val="00317F61"/>
    <w:rsid w:val="00323069"/>
    <w:rsid w:val="003238BC"/>
    <w:rsid w:val="003273E5"/>
    <w:rsid w:val="00331D88"/>
    <w:rsid w:val="00333919"/>
    <w:rsid w:val="00334491"/>
    <w:rsid w:val="00334E59"/>
    <w:rsid w:val="00335AE1"/>
    <w:rsid w:val="00340C68"/>
    <w:rsid w:val="00347A52"/>
    <w:rsid w:val="00350AB2"/>
    <w:rsid w:val="00363490"/>
    <w:rsid w:val="00367270"/>
    <w:rsid w:val="00372237"/>
    <w:rsid w:val="00373824"/>
    <w:rsid w:val="003747D3"/>
    <w:rsid w:val="00374963"/>
    <w:rsid w:val="003801A1"/>
    <w:rsid w:val="0038282A"/>
    <w:rsid w:val="0038459B"/>
    <w:rsid w:val="00384DD3"/>
    <w:rsid w:val="0038690C"/>
    <w:rsid w:val="0039038C"/>
    <w:rsid w:val="00390647"/>
    <w:rsid w:val="00392964"/>
    <w:rsid w:val="0039674F"/>
    <w:rsid w:val="0039697E"/>
    <w:rsid w:val="00397AE6"/>
    <w:rsid w:val="003A1BDE"/>
    <w:rsid w:val="003A6D4B"/>
    <w:rsid w:val="003A7C89"/>
    <w:rsid w:val="003B3BA2"/>
    <w:rsid w:val="003B7153"/>
    <w:rsid w:val="003B71B7"/>
    <w:rsid w:val="003B7C62"/>
    <w:rsid w:val="003C2176"/>
    <w:rsid w:val="003C3936"/>
    <w:rsid w:val="003C5768"/>
    <w:rsid w:val="003D111A"/>
    <w:rsid w:val="003D29BB"/>
    <w:rsid w:val="003D2CE9"/>
    <w:rsid w:val="003D5603"/>
    <w:rsid w:val="003D7174"/>
    <w:rsid w:val="003E064F"/>
    <w:rsid w:val="003E17D4"/>
    <w:rsid w:val="003E64F5"/>
    <w:rsid w:val="003F3EE2"/>
    <w:rsid w:val="003F69A0"/>
    <w:rsid w:val="00400869"/>
    <w:rsid w:val="00402BBC"/>
    <w:rsid w:val="00404B71"/>
    <w:rsid w:val="00405891"/>
    <w:rsid w:val="004105D1"/>
    <w:rsid w:val="00411A28"/>
    <w:rsid w:val="00411FF6"/>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541F"/>
    <w:rsid w:val="005362FF"/>
    <w:rsid w:val="00540178"/>
    <w:rsid w:val="00543035"/>
    <w:rsid w:val="00544BA2"/>
    <w:rsid w:val="00546679"/>
    <w:rsid w:val="005505CE"/>
    <w:rsid w:val="005578B2"/>
    <w:rsid w:val="00561C27"/>
    <w:rsid w:val="005668BB"/>
    <w:rsid w:val="00566C6D"/>
    <w:rsid w:val="00571349"/>
    <w:rsid w:val="00571C51"/>
    <w:rsid w:val="00572406"/>
    <w:rsid w:val="00577389"/>
    <w:rsid w:val="00580BC4"/>
    <w:rsid w:val="0058172D"/>
    <w:rsid w:val="00581B2D"/>
    <w:rsid w:val="0058708C"/>
    <w:rsid w:val="00590D6E"/>
    <w:rsid w:val="00591741"/>
    <w:rsid w:val="00591BFD"/>
    <w:rsid w:val="00593B15"/>
    <w:rsid w:val="00594CD3"/>
    <w:rsid w:val="00597365"/>
    <w:rsid w:val="005A379B"/>
    <w:rsid w:val="005A41DE"/>
    <w:rsid w:val="005A54E2"/>
    <w:rsid w:val="005A681F"/>
    <w:rsid w:val="005B7892"/>
    <w:rsid w:val="005C0E1F"/>
    <w:rsid w:val="005C3AC5"/>
    <w:rsid w:val="005C42BB"/>
    <w:rsid w:val="005D06FD"/>
    <w:rsid w:val="005D0B34"/>
    <w:rsid w:val="005D38E8"/>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31CC"/>
    <w:rsid w:val="0061462D"/>
    <w:rsid w:val="00614A6C"/>
    <w:rsid w:val="0061647B"/>
    <w:rsid w:val="0062077E"/>
    <w:rsid w:val="00620B1B"/>
    <w:rsid w:val="00622A6C"/>
    <w:rsid w:val="0062776D"/>
    <w:rsid w:val="00630AEA"/>
    <w:rsid w:val="00635823"/>
    <w:rsid w:val="006417BD"/>
    <w:rsid w:val="00642AC2"/>
    <w:rsid w:val="006441DD"/>
    <w:rsid w:val="006463D9"/>
    <w:rsid w:val="006500BD"/>
    <w:rsid w:val="0065191C"/>
    <w:rsid w:val="006525BC"/>
    <w:rsid w:val="006528CF"/>
    <w:rsid w:val="00652BD6"/>
    <w:rsid w:val="00653148"/>
    <w:rsid w:val="006547DC"/>
    <w:rsid w:val="00660A6F"/>
    <w:rsid w:val="00662082"/>
    <w:rsid w:val="006621A0"/>
    <w:rsid w:val="00662CEC"/>
    <w:rsid w:val="00662F18"/>
    <w:rsid w:val="00665024"/>
    <w:rsid w:val="00667BC0"/>
    <w:rsid w:val="00671786"/>
    <w:rsid w:val="00671991"/>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A48ED"/>
    <w:rsid w:val="006A4E61"/>
    <w:rsid w:val="006A5476"/>
    <w:rsid w:val="006A62B8"/>
    <w:rsid w:val="006A6573"/>
    <w:rsid w:val="006A7B1A"/>
    <w:rsid w:val="006B0969"/>
    <w:rsid w:val="006B2D48"/>
    <w:rsid w:val="006B70F2"/>
    <w:rsid w:val="006C0321"/>
    <w:rsid w:val="006C0F5C"/>
    <w:rsid w:val="006C174C"/>
    <w:rsid w:val="006C286E"/>
    <w:rsid w:val="006C2CA6"/>
    <w:rsid w:val="006C39BA"/>
    <w:rsid w:val="006C43DE"/>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405E"/>
    <w:rsid w:val="006F4226"/>
    <w:rsid w:val="006F4522"/>
    <w:rsid w:val="006F50D7"/>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48BD"/>
    <w:rsid w:val="007651A6"/>
    <w:rsid w:val="00765DE9"/>
    <w:rsid w:val="00772E74"/>
    <w:rsid w:val="0077322A"/>
    <w:rsid w:val="007738B8"/>
    <w:rsid w:val="00774B04"/>
    <w:rsid w:val="00775CF6"/>
    <w:rsid w:val="00777188"/>
    <w:rsid w:val="00780E83"/>
    <w:rsid w:val="00783499"/>
    <w:rsid w:val="00783FC9"/>
    <w:rsid w:val="00786478"/>
    <w:rsid w:val="00786BBC"/>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F10E3"/>
    <w:rsid w:val="008F3BF4"/>
    <w:rsid w:val="008F51DF"/>
    <w:rsid w:val="00904AA2"/>
    <w:rsid w:val="0091069B"/>
    <w:rsid w:val="00913F5B"/>
    <w:rsid w:val="00920764"/>
    <w:rsid w:val="00920CE0"/>
    <w:rsid w:val="00922183"/>
    <w:rsid w:val="009261B7"/>
    <w:rsid w:val="00926545"/>
    <w:rsid w:val="00926AF7"/>
    <w:rsid w:val="00932867"/>
    <w:rsid w:val="00932A10"/>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7130"/>
    <w:rsid w:val="009824F1"/>
    <w:rsid w:val="00982754"/>
    <w:rsid w:val="00982D75"/>
    <w:rsid w:val="00983F1D"/>
    <w:rsid w:val="009840AF"/>
    <w:rsid w:val="0098658A"/>
    <w:rsid w:val="00990E87"/>
    <w:rsid w:val="00991FE0"/>
    <w:rsid w:val="0099303E"/>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739E"/>
    <w:rsid w:val="009F77A9"/>
    <w:rsid w:val="00A02E7B"/>
    <w:rsid w:val="00A031F6"/>
    <w:rsid w:val="00A14EA6"/>
    <w:rsid w:val="00A22151"/>
    <w:rsid w:val="00A23E7A"/>
    <w:rsid w:val="00A240DC"/>
    <w:rsid w:val="00A261FA"/>
    <w:rsid w:val="00A31832"/>
    <w:rsid w:val="00A347E4"/>
    <w:rsid w:val="00A42FD9"/>
    <w:rsid w:val="00A440E0"/>
    <w:rsid w:val="00A442F3"/>
    <w:rsid w:val="00A45F82"/>
    <w:rsid w:val="00A511C4"/>
    <w:rsid w:val="00A5163F"/>
    <w:rsid w:val="00A5235D"/>
    <w:rsid w:val="00A6128C"/>
    <w:rsid w:val="00A62592"/>
    <w:rsid w:val="00A62F71"/>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600B8"/>
    <w:rsid w:val="00B60626"/>
    <w:rsid w:val="00B6641F"/>
    <w:rsid w:val="00B7024F"/>
    <w:rsid w:val="00B706FD"/>
    <w:rsid w:val="00B71D89"/>
    <w:rsid w:val="00B7566A"/>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6B47"/>
    <w:rsid w:val="00BD12B3"/>
    <w:rsid w:val="00BD2120"/>
    <w:rsid w:val="00BD3651"/>
    <w:rsid w:val="00BE1893"/>
    <w:rsid w:val="00BE1D6F"/>
    <w:rsid w:val="00BE3054"/>
    <w:rsid w:val="00BE463E"/>
    <w:rsid w:val="00BE662C"/>
    <w:rsid w:val="00BE6928"/>
    <w:rsid w:val="00BE76DC"/>
    <w:rsid w:val="00BF1C5B"/>
    <w:rsid w:val="00BF3447"/>
    <w:rsid w:val="00BF4D55"/>
    <w:rsid w:val="00BF7738"/>
    <w:rsid w:val="00BF7D5D"/>
    <w:rsid w:val="00C002DC"/>
    <w:rsid w:val="00C017A2"/>
    <w:rsid w:val="00C02192"/>
    <w:rsid w:val="00C02313"/>
    <w:rsid w:val="00C02467"/>
    <w:rsid w:val="00C02A32"/>
    <w:rsid w:val="00C03DFD"/>
    <w:rsid w:val="00C041DD"/>
    <w:rsid w:val="00C0440A"/>
    <w:rsid w:val="00C05015"/>
    <w:rsid w:val="00C051EC"/>
    <w:rsid w:val="00C10450"/>
    <w:rsid w:val="00C126A2"/>
    <w:rsid w:val="00C17539"/>
    <w:rsid w:val="00C2328F"/>
    <w:rsid w:val="00C30654"/>
    <w:rsid w:val="00C307C6"/>
    <w:rsid w:val="00C312D3"/>
    <w:rsid w:val="00C337D6"/>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4400"/>
    <w:rsid w:val="00C80EAB"/>
    <w:rsid w:val="00C8201D"/>
    <w:rsid w:val="00C832B0"/>
    <w:rsid w:val="00C864B6"/>
    <w:rsid w:val="00C87E4D"/>
    <w:rsid w:val="00C92473"/>
    <w:rsid w:val="00C92D57"/>
    <w:rsid w:val="00C94535"/>
    <w:rsid w:val="00C94BC7"/>
    <w:rsid w:val="00C95319"/>
    <w:rsid w:val="00C958A9"/>
    <w:rsid w:val="00CA0391"/>
    <w:rsid w:val="00CA0505"/>
    <w:rsid w:val="00CA3150"/>
    <w:rsid w:val="00CA3AD5"/>
    <w:rsid w:val="00CA584B"/>
    <w:rsid w:val="00CA6423"/>
    <w:rsid w:val="00CB0B40"/>
    <w:rsid w:val="00CC1F19"/>
    <w:rsid w:val="00CC27CF"/>
    <w:rsid w:val="00CC2D5A"/>
    <w:rsid w:val="00CC2E20"/>
    <w:rsid w:val="00CC3323"/>
    <w:rsid w:val="00CC547C"/>
    <w:rsid w:val="00CC5F06"/>
    <w:rsid w:val="00CD22C5"/>
    <w:rsid w:val="00CD3325"/>
    <w:rsid w:val="00CD7661"/>
    <w:rsid w:val="00CE0082"/>
    <w:rsid w:val="00CE21FD"/>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7AF"/>
    <w:rsid w:val="00D23540"/>
    <w:rsid w:val="00D24962"/>
    <w:rsid w:val="00D26255"/>
    <w:rsid w:val="00D30C25"/>
    <w:rsid w:val="00D30CF0"/>
    <w:rsid w:val="00D3324A"/>
    <w:rsid w:val="00D348C0"/>
    <w:rsid w:val="00D34D26"/>
    <w:rsid w:val="00D36290"/>
    <w:rsid w:val="00D372BD"/>
    <w:rsid w:val="00D40181"/>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5A6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7A8D"/>
    <w:rsid w:val="00E525C0"/>
    <w:rsid w:val="00E5442F"/>
    <w:rsid w:val="00E6031B"/>
    <w:rsid w:val="00E61330"/>
    <w:rsid w:val="00E6181F"/>
    <w:rsid w:val="00E62215"/>
    <w:rsid w:val="00E6233E"/>
    <w:rsid w:val="00E62B15"/>
    <w:rsid w:val="00E64EDA"/>
    <w:rsid w:val="00E65D8D"/>
    <w:rsid w:val="00E73CBB"/>
    <w:rsid w:val="00E73D5E"/>
    <w:rsid w:val="00E749E6"/>
    <w:rsid w:val="00E76B61"/>
    <w:rsid w:val="00E774E5"/>
    <w:rsid w:val="00E8028F"/>
    <w:rsid w:val="00E832E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6FFB"/>
    <w:rsid w:val="00EC0FF3"/>
    <w:rsid w:val="00EC501B"/>
    <w:rsid w:val="00EC6A95"/>
    <w:rsid w:val="00EC6C79"/>
    <w:rsid w:val="00EC6EA1"/>
    <w:rsid w:val="00ED0872"/>
    <w:rsid w:val="00ED1E2B"/>
    <w:rsid w:val="00ED2DE0"/>
    <w:rsid w:val="00ED543F"/>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13D00"/>
    <w:rsid w:val="00F16CE0"/>
    <w:rsid w:val="00F21167"/>
    <w:rsid w:val="00F26640"/>
    <w:rsid w:val="00F36087"/>
    <w:rsid w:val="00F37E79"/>
    <w:rsid w:val="00F4028F"/>
    <w:rsid w:val="00F402D9"/>
    <w:rsid w:val="00F420E4"/>
    <w:rsid w:val="00F43801"/>
    <w:rsid w:val="00F451C2"/>
    <w:rsid w:val="00F4624F"/>
    <w:rsid w:val="00F46435"/>
    <w:rsid w:val="00F472B3"/>
    <w:rsid w:val="00F51678"/>
    <w:rsid w:val="00F51A39"/>
    <w:rsid w:val="00F53DFB"/>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Andrea Sample</cp:lastModifiedBy>
  <cp:revision>2</cp:revision>
  <cp:lastPrinted>2020-01-13T16:34:00Z</cp:lastPrinted>
  <dcterms:created xsi:type="dcterms:W3CDTF">2021-01-17T01:01:00Z</dcterms:created>
  <dcterms:modified xsi:type="dcterms:W3CDTF">2021-01-17T01:01:00Z</dcterms:modified>
</cp:coreProperties>
</file>